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FB8E" w14:textId="5DA9EE3C" w:rsidR="00233009" w:rsidRPr="004B220E" w:rsidRDefault="00436D08" w:rsidP="00233009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6E3FF" wp14:editId="2C74DAB7">
                <wp:simplePos x="0" y="0"/>
                <wp:positionH relativeFrom="page">
                  <wp:align>left</wp:align>
                </wp:positionH>
                <wp:positionV relativeFrom="paragraph">
                  <wp:posOffset>1905</wp:posOffset>
                </wp:positionV>
                <wp:extent cx="7550150" cy="342900"/>
                <wp:effectExtent l="0" t="0" r="12700" b="19050"/>
                <wp:wrapNone/>
                <wp:docPr id="1904061830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342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7CCFF" w14:textId="374CDEDD" w:rsidR="00864BA4" w:rsidRPr="00016DD4" w:rsidRDefault="00066F13" w:rsidP="00066F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Le</w:t>
                            </w:r>
                            <w:r w:rsidR="00864BA4" w:rsidRPr="0025483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arning from </w:t>
                            </w:r>
                            <w:r w:rsidR="002845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afeguarding Adult and </w:t>
                            </w:r>
                            <w:r w:rsidR="00864BA4" w:rsidRPr="0025483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Domestic Abuse Related Death</w:t>
                            </w:r>
                            <w:r w:rsidRPr="00066F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6E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0;margin-top:.15pt;width:594.5pt;height:27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" fillcolor="#7030a0" strokeweight=".5pt">
                <v:textbox>
                  <w:txbxContent>
                    <w:p w14:paraId="1327CCFF" w14:textId="374CDEDD" w:rsidR="00864BA4" w:rsidRPr="00016DD4" w:rsidRDefault="00066F13" w:rsidP="00066F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Le</w:t>
                      </w:r>
                      <w:r w:rsidR="00864BA4" w:rsidRPr="0025483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arning from </w:t>
                      </w:r>
                      <w:r w:rsidR="0028453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afeguarding Adult and </w:t>
                      </w:r>
                      <w:r w:rsidR="00864BA4" w:rsidRPr="0025483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Domestic Abuse Related Death</w:t>
                      </w:r>
                      <w:r w:rsidRPr="00066F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Reviews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2A80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</w:t>
      </w:r>
    </w:p>
    <w:p w14:paraId="4BF5C108" w14:textId="24153BF5" w:rsidR="00BC3441" w:rsidRDefault="00BC3441" w:rsidP="00462A80">
      <w:pPr>
        <w:rPr>
          <w:rFonts w:ascii="Arial" w:hAnsi="Arial" w:cs="Arial"/>
          <w:sz w:val="24"/>
          <w:szCs w:val="24"/>
        </w:rPr>
      </w:pPr>
      <w:bookmarkStart w:id="0" w:name="_Hlk158890375"/>
    </w:p>
    <w:p w14:paraId="6B2088FF" w14:textId="44E0A789" w:rsidR="00462A80" w:rsidRDefault="00462A80" w:rsidP="00462A80">
      <w:pPr>
        <w:rPr>
          <w:rFonts w:ascii="Arial" w:hAnsi="Arial" w:cs="Arial"/>
          <w:sz w:val="24"/>
          <w:szCs w:val="24"/>
        </w:rPr>
      </w:pPr>
    </w:p>
    <w:p w14:paraId="62F1DD83" w14:textId="7275C5BB" w:rsidR="00436D08" w:rsidRDefault="00AD51EA" w:rsidP="004B22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632F">
        <w:rPr>
          <w:rFonts w:ascii="Arial" w:hAnsi="Arial" w:cs="Arial"/>
          <w:b/>
          <w:bCs/>
          <w:sz w:val="24"/>
          <w:szCs w:val="24"/>
        </w:rPr>
        <w:t xml:space="preserve">This briefing provides </w:t>
      </w:r>
      <w:r w:rsidR="003960F6" w:rsidRPr="0094632F">
        <w:rPr>
          <w:rFonts w:ascii="Arial" w:hAnsi="Arial" w:cs="Arial"/>
          <w:b/>
          <w:bCs/>
          <w:sz w:val="24"/>
          <w:szCs w:val="24"/>
        </w:rPr>
        <w:t>an outline of</w:t>
      </w:r>
      <w:r w:rsidRPr="0094632F">
        <w:rPr>
          <w:rFonts w:ascii="Arial" w:hAnsi="Arial" w:cs="Arial"/>
          <w:b/>
          <w:bCs/>
          <w:sz w:val="24"/>
          <w:szCs w:val="24"/>
        </w:rPr>
        <w:t xml:space="preserve"> key </w:t>
      </w:r>
      <w:r w:rsidR="003960F6" w:rsidRPr="0094632F">
        <w:rPr>
          <w:rFonts w:ascii="Arial" w:hAnsi="Arial" w:cs="Arial"/>
          <w:b/>
          <w:bCs/>
          <w:sz w:val="24"/>
          <w:szCs w:val="24"/>
        </w:rPr>
        <w:t>learning</w:t>
      </w:r>
      <w:r w:rsidRPr="0094632F">
        <w:rPr>
          <w:rFonts w:ascii="Arial" w:hAnsi="Arial" w:cs="Arial"/>
          <w:b/>
          <w:bCs/>
          <w:sz w:val="24"/>
          <w:szCs w:val="24"/>
        </w:rPr>
        <w:t xml:space="preserve"> following the death of</w:t>
      </w:r>
      <w:r w:rsidR="00D72A53" w:rsidRPr="0094632F">
        <w:rPr>
          <w:rFonts w:ascii="Arial" w:hAnsi="Arial" w:cs="Arial"/>
          <w:b/>
          <w:bCs/>
          <w:sz w:val="24"/>
          <w:szCs w:val="24"/>
        </w:rPr>
        <w:t xml:space="preserve"> </w:t>
      </w:r>
      <w:r w:rsidR="00E42805">
        <w:rPr>
          <w:rFonts w:ascii="Arial" w:hAnsi="Arial" w:cs="Arial"/>
          <w:b/>
          <w:bCs/>
          <w:sz w:val="24"/>
          <w:szCs w:val="24"/>
        </w:rPr>
        <w:t>Simon</w:t>
      </w:r>
      <w:r w:rsidR="007D7B6A">
        <w:rPr>
          <w:rFonts w:ascii="Arial" w:hAnsi="Arial" w:cs="Arial"/>
          <w:b/>
          <w:bCs/>
          <w:sz w:val="24"/>
          <w:szCs w:val="24"/>
        </w:rPr>
        <w:t xml:space="preserve"> from a review led by Liz Cooper.</w:t>
      </w:r>
    </w:p>
    <w:p w14:paraId="16F89914" w14:textId="77777777" w:rsidR="007D7B6A" w:rsidRDefault="007D7B6A" w:rsidP="004B22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985706" w14:textId="7B21C8E5" w:rsidR="00915B6D" w:rsidRDefault="00915B6D" w:rsidP="004B22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Simon is a pseudonym </w:t>
      </w:r>
      <w:r w:rsidR="007D7B6A">
        <w:rPr>
          <w:rFonts w:ascii="Arial" w:hAnsi="Arial" w:cs="Arial"/>
          <w:b/>
          <w:bCs/>
          <w:sz w:val="24"/>
          <w:szCs w:val="24"/>
        </w:rPr>
        <w:t>chosen</w:t>
      </w:r>
      <w:r>
        <w:rPr>
          <w:rFonts w:ascii="Arial" w:hAnsi="Arial" w:cs="Arial"/>
          <w:b/>
          <w:bCs/>
          <w:sz w:val="24"/>
          <w:szCs w:val="24"/>
        </w:rPr>
        <w:t xml:space="preserve"> to protect anonymity</w:t>
      </w:r>
      <w:r w:rsidR="007D7B6A">
        <w:rPr>
          <w:rFonts w:ascii="Arial" w:hAnsi="Arial" w:cs="Arial"/>
          <w:b/>
          <w:bCs/>
          <w:sz w:val="24"/>
          <w:szCs w:val="24"/>
        </w:rPr>
        <w:t>.</w:t>
      </w:r>
    </w:p>
    <w:p w14:paraId="03166B97" w14:textId="77777777" w:rsidR="0054739C" w:rsidRPr="0094632F" w:rsidRDefault="0054739C" w:rsidP="004B22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61249F" w14:textId="27C82787" w:rsidR="00233009" w:rsidRPr="00661904" w:rsidRDefault="002E5470" w:rsidP="006733BA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661904">
        <w:rPr>
          <w:rFonts w:ascii="Arial" w:hAnsi="Arial" w:cs="Arial"/>
          <w:b/>
          <w:bCs/>
          <w:color w:val="7030A0"/>
          <w:sz w:val="24"/>
          <w:szCs w:val="24"/>
        </w:rPr>
        <w:t>What Happened?</w:t>
      </w:r>
    </w:p>
    <w:p w14:paraId="63A8A560" w14:textId="77777777" w:rsidR="00235F7C" w:rsidRPr="0094632F" w:rsidRDefault="00235F7C" w:rsidP="00661904">
      <w:pPr>
        <w:rPr>
          <w:rFonts w:ascii="Arial" w:hAnsi="Arial" w:cs="Arial"/>
          <w:sz w:val="24"/>
          <w:szCs w:val="24"/>
        </w:rPr>
      </w:pPr>
    </w:p>
    <w:p w14:paraId="7618EBD8" w14:textId="01BE2DE0" w:rsidR="002E5470" w:rsidRPr="00661904" w:rsidRDefault="002E5470" w:rsidP="001043A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61904">
        <w:rPr>
          <w:rFonts w:ascii="Arial" w:hAnsi="Arial" w:cs="Arial"/>
          <w:sz w:val="24"/>
          <w:szCs w:val="24"/>
        </w:rPr>
        <w:t xml:space="preserve">Simon </w:t>
      </w:r>
      <w:r w:rsidR="005F2EA9" w:rsidRPr="00661904">
        <w:rPr>
          <w:rFonts w:ascii="Arial" w:hAnsi="Arial" w:cs="Arial"/>
          <w:sz w:val="24"/>
          <w:szCs w:val="24"/>
        </w:rPr>
        <w:t xml:space="preserve">experienced alcohol misuse, mental and physical health issues </w:t>
      </w:r>
      <w:r w:rsidR="00A75615" w:rsidRPr="00661904">
        <w:rPr>
          <w:rFonts w:ascii="Arial" w:hAnsi="Arial" w:cs="Arial"/>
          <w:sz w:val="24"/>
          <w:szCs w:val="24"/>
        </w:rPr>
        <w:t>for several years</w:t>
      </w:r>
      <w:r w:rsidR="00B1032E">
        <w:rPr>
          <w:rFonts w:ascii="Arial" w:hAnsi="Arial" w:cs="Arial"/>
          <w:sz w:val="24"/>
          <w:szCs w:val="24"/>
        </w:rPr>
        <w:t>.</w:t>
      </w:r>
    </w:p>
    <w:p w14:paraId="3654B739" w14:textId="293C0C04" w:rsidR="00A75615" w:rsidRPr="00661904" w:rsidRDefault="00A75615" w:rsidP="001043A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61904">
        <w:rPr>
          <w:rFonts w:ascii="Arial" w:hAnsi="Arial" w:cs="Arial"/>
          <w:sz w:val="24"/>
          <w:szCs w:val="24"/>
        </w:rPr>
        <w:t>Following the breakdown of his marriage, Simon moved into a flat and he continued to</w:t>
      </w:r>
      <w:r w:rsidR="00D93E0A" w:rsidRPr="00661904">
        <w:rPr>
          <w:rFonts w:ascii="Arial" w:hAnsi="Arial" w:cs="Arial"/>
          <w:sz w:val="24"/>
          <w:szCs w:val="24"/>
        </w:rPr>
        <w:t xml:space="preserve"> </w:t>
      </w:r>
      <w:r w:rsidR="003F1FAA" w:rsidRPr="00661904">
        <w:rPr>
          <w:rFonts w:ascii="Arial" w:hAnsi="Arial" w:cs="Arial"/>
          <w:sz w:val="24"/>
          <w:szCs w:val="24"/>
        </w:rPr>
        <w:t>drink and neglect himself.</w:t>
      </w:r>
    </w:p>
    <w:p w14:paraId="38B32206" w14:textId="1CFFE5E4" w:rsidR="003F1FAA" w:rsidRPr="00661904" w:rsidRDefault="005E3DA1" w:rsidP="001043A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61904">
        <w:rPr>
          <w:rFonts w:ascii="Arial" w:hAnsi="Arial" w:cs="Arial"/>
          <w:sz w:val="24"/>
          <w:szCs w:val="24"/>
        </w:rPr>
        <w:t>During Covid, Peter (Perpetrator) and Peter’s girlfriend moved in with Simon.  Peter was on probation.</w:t>
      </w:r>
    </w:p>
    <w:p w14:paraId="57362256" w14:textId="416FFFC4" w:rsidR="005E3DA1" w:rsidRPr="00661904" w:rsidRDefault="005E3DA1" w:rsidP="001043A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61904">
        <w:rPr>
          <w:rFonts w:ascii="Arial" w:hAnsi="Arial" w:cs="Arial"/>
          <w:sz w:val="24"/>
          <w:szCs w:val="24"/>
        </w:rPr>
        <w:t>Alcohol was an issue for Simon and Peter</w:t>
      </w:r>
      <w:r w:rsidR="006206D3" w:rsidRPr="00661904">
        <w:rPr>
          <w:rFonts w:ascii="Arial" w:hAnsi="Arial" w:cs="Arial"/>
          <w:sz w:val="24"/>
          <w:szCs w:val="24"/>
        </w:rPr>
        <w:t xml:space="preserve"> and there was evidence that Peter was co</w:t>
      </w:r>
      <w:r w:rsidR="00D93E0A" w:rsidRPr="00661904">
        <w:rPr>
          <w:rFonts w:ascii="Arial" w:hAnsi="Arial" w:cs="Arial"/>
          <w:sz w:val="24"/>
          <w:szCs w:val="24"/>
        </w:rPr>
        <w:t>e</w:t>
      </w:r>
      <w:r w:rsidR="006206D3" w:rsidRPr="00661904">
        <w:rPr>
          <w:rFonts w:ascii="Arial" w:hAnsi="Arial" w:cs="Arial"/>
          <w:sz w:val="24"/>
          <w:szCs w:val="24"/>
        </w:rPr>
        <w:t>rcing Simon and that Simon was neglecting himself.</w:t>
      </w:r>
    </w:p>
    <w:p w14:paraId="3B3869FD" w14:textId="62C2C4F1" w:rsidR="006206D3" w:rsidRPr="00661904" w:rsidRDefault="006206D3" w:rsidP="001043A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61904">
        <w:rPr>
          <w:rFonts w:ascii="Arial" w:hAnsi="Arial" w:cs="Arial"/>
          <w:sz w:val="24"/>
          <w:szCs w:val="24"/>
        </w:rPr>
        <w:t>There was evidence of cuckooing.</w:t>
      </w:r>
    </w:p>
    <w:p w14:paraId="76520747" w14:textId="1B01782D" w:rsidR="006206D3" w:rsidRPr="00661904" w:rsidRDefault="006206D3" w:rsidP="001043A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61904">
        <w:rPr>
          <w:rFonts w:ascii="Arial" w:hAnsi="Arial" w:cs="Arial"/>
          <w:sz w:val="24"/>
          <w:szCs w:val="24"/>
        </w:rPr>
        <w:t>Peter killed Simon in early summer 2020.</w:t>
      </w:r>
    </w:p>
    <w:p w14:paraId="2AC1FFF1" w14:textId="77777777" w:rsidR="002E5470" w:rsidRDefault="002E5470" w:rsidP="00FF5F68">
      <w:pPr>
        <w:jc w:val="both"/>
        <w:rPr>
          <w:rFonts w:ascii="Arial" w:hAnsi="Arial" w:cs="Arial"/>
          <w:sz w:val="24"/>
          <w:szCs w:val="24"/>
        </w:rPr>
      </w:pPr>
    </w:p>
    <w:bookmarkEnd w:id="0"/>
    <w:p w14:paraId="27BAEC13" w14:textId="15082811" w:rsidR="007856A5" w:rsidRPr="0094632F" w:rsidRDefault="00661904" w:rsidP="006733BA">
      <w:pPr>
        <w:pStyle w:val="ListParagraph"/>
        <w:ind w:left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Agencies involved in the Review</w:t>
      </w:r>
    </w:p>
    <w:p w14:paraId="22F38392" w14:textId="77777777" w:rsidR="00C73930" w:rsidRPr="00D72A53" w:rsidRDefault="00C73930" w:rsidP="0020559C">
      <w:pPr>
        <w:pStyle w:val="ListParagraph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045C63D" w14:textId="77777777" w:rsidR="006733BA" w:rsidRDefault="006733BA" w:rsidP="00C73930">
      <w:pPr>
        <w:rPr>
          <w:rFonts w:ascii="Arial" w:hAnsi="Arial" w:cs="Arial"/>
          <w:sz w:val="24"/>
          <w:szCs w:val="24"/>
        </w:rPr>
        <w:sectPr w:rsidR="006733BA" w:rsidSect="00462A80">
          <w:headerReference w:type="default" r:id="rId8"/>
          <w:pgSz w:w="11906" w:h="16838"/>
          <w:pgMar w:top="567" w:right="1440" w:bottom="1440" w:left="1440" w:header="567" w:footer="708" w:gutter="0"/>
          <w:cols w:space="708"/>
          <w:docGrid w:linePitch="360"/>
        </w:sectPr>
      </w:pPr>
    </w:p>
    <w:p w14:paraId="5EA93959" w14:textId="531846D7" w:rsidR="00C73930" w:rsidRPr="006733BA" w:rsidRDefault="00D52D24" w:rsidP="006733B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33BA">
        <w:rPr>
          <w:rFonts w:ascii="Arial" w:hAnsi="Arial" w:cs="Arial"/>
          <w:sz w:val="24"/>
          <w:szCs w:val="24"/>
        </w:rPr>
        <w:t>The Police</w:t>
      </w:r>
    </w:p>
    <w:p w14:paraId="0E631DA2" w14:textId="2AF44D2D" w:rsidR="00D52D24" w:rsidRPr="006733BA" w:rsidRDefault="00D52D24" w:rsidP="006733B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33BA">
        <w:rPr>
          <w:rFonts w:ascii="Arial" w:hAnsi="Arial" w:cs="Arial"/>
          <w:sz w:val="24"/>
          <w:szCs w:val="24"/>
        </w:rPr>
        <w:t>Probation Service</w:t>
      </w:r>
    </w:p>
    <w:p w14:paraId="62719B5C" w14:textId="6BE35FAC" w:rsidR="00D52D24" w:rsidRPr="006733BA" w:rsidRDefault="00D52D24" w:rsidP="006733B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33BA">
        <w:rPr>
          <w:rFonts w:ascii="Arial" w:hAnsi="Arial" w:cs="Arial"/>
          <w:sz w:val="24"/>
          <w:szCs w:val="24"/>
        </w:rPr>
        <w:t>GPs</w:t>
      </w:r>
    </w:p>
    <w:p w14:paraId="29B4BFDE" w14:textId="16C78BAA" w:rsidR="00D52D24" w:rsidRPr="006733BA" w:rsidRDefault="00D52D24" w:rsidP="006733B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33BA">
        <w:rPr>
          <w:rFonts w:ascii="Arial" w:hAnsi="Arial" w:cs="Arial"/>
          <w:sz w:val="24"/>
          <w:szCs w:val="24"/>
        </w:rPr>
        <w:t xml:space="preserve">Mental </w:t>
      </w:r>
      <w:r w:rsidR="006733BA" w:rsidRPr="006733BA">
        <w:rPr>
          <w:rFonts w:ascii="Arial" w:hAnsi="Arial" w:cs="Arial"/>
          <w:sz w:val="24"/>
          <w:szCs w:val="24"/>
        </w:rPr>
        <w:t>Health</w:t>
      </w:r>
      <w:r w:rsidRPr="006733BA">
        <w:rPr>
          <w:rFonts w:ascii="Arial" w:hAnsi="Arial" w:cs="Arial"/>
          <w:sz w:val="24"/>
          <w:szCs w:val="24"/>
        </w:rPr>
        <w:t xml:space="preserve"> Services</w:t>
      </w:r>
    </w:p>
    <w:p w14:paraId="3A0CB5B4" w14:textId="2C97785D" w:rsidR="00D52D24" w:rsidRPr="006733BA" w:rsidRDefault="00D52D24" w:rsidP="006733B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33BA">
        <w:rPr>
          <w:rFonts w:ascii="Arial" w:hAnsi="Arial" w:cs="Arial"/>
          <w:sz w:val="24"/>
          <w:szCs w:val="24"/>
        </w:rPr>
        <w:t>Adult Social Care</w:t>
      </w:r>
    </w:p>
    <w:p w14:paraId="65C5B0DD" w14:textId="27B23235" w:rsidR="006733BA" w:rsidRPr="006733BA" w:rsidRDefault="006733BA" w:rsidP="006733B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33BA">
        <w:rPr>
          <w:rFonts w:ascii="Arial" w:hAnsi="Arial" w:cs="Arial"/>
          <w:sz w:val="24"/>
          <w:szCs w:val="24"/>
        </w:rPr>
        <w:t>Specialist Domestic Abuse Services</w:t>
      </w:r>
    </w:p>
    <w:p w14:paraId="50A52AE8" w14:textId="285D1EDC" w:rsidR="006733BA" w:rsidRPr="006733BA" w:rsidRDefault="006733BA" w:rsidP="006733B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6733BA">
        <w:rPr>
          <w:rFonts w:ascii="Arial" w:hAnsi="Arial" w:cs="Arial"/>
          <w:sz w:val="24"/>
          <w:szCs w:val="24"/>
        </w:rPr>
        <w:t>Ambulance Service</w:t>
      </w:r>
    </w:p>
    <w:p w14:paraId="0FD2BE99" w14:textId="77777777" w:rsidR="006733BA" w:rsidRDefault="006733BA" w:rsidP="00C73930">
      <w:pPr>
        <w:rPr>
          <w:rFonts w:ascii="Arial" w:hAnsi="Arial" w:cs="Arial"/>
          <w:sz w:val="24"/>
          <w:szCs w:val="24"/>
        </w:rPr>
        <w:sectPr w:rsidR="006733BA" w:rsidSect="006733BA">
          <w:type w:val="continuous"/>
          <w:pgSz w:w="11906" w:h="16838"/>
          <w:pgMar w:top="567" w:right="1440" w:bottom="1440" w:left="1440" w:header="567" w:footer="708" w:gutter="0"/>
          <w:cols w:num="2" w:space="708"/>
          <w:docGrid w:linePitch="360"/>
        </w:sectPr>
      </w:pPr>
    </w:p>
    <w:p w14:paraId="44610124" w14:textId="77777777" w:rsidR="00D52D24" w:rsidRDefault="00D52D24" w:rsidP="00C73930">
      <w:pPr>
        <w:rPr>
          <w:rFonts w:ascii="Arial" w:hAnsi="Arial" w:cs="Arial"/>
          <w:sz w:val="24"/>
          <w:szCs w:val="24"/>
        </w:rPr>
      </w:pPr>
    </w:p>
    <w:p w14:paraId="2E2703E3" w14:textId="59A52A72" w:rsidR="00C73930" w:rsidRDefault="004B7EFF" w:rsidP="004B7EFF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Themes for Learning</w:t>
      </w:r>
    </w:p>
    <w:p w14:paraId="5904968E" w14:textId="5E18D722" w:rsidR="00332AE8" w:rsidRPr="00995282" w:rsidRDefault="004B7EFF" w:rsidP="00995282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  <w:lang w:val="en-GB"/>
        </w:rPr>
      </w:pPr>
      <w:r w:rsidRPr="00995282">
        <w:rPr>
          <w:rFonts w:ascii="Arial" w:hAnsi="Arial" w:cs="Arial"/>
          <w:sz w:val="24"/>
          <w:szCs w:val="24"/>
          <w:lang w:val="en-GB"/>
        </w:rPr>
        <w:t>Professional</w:t>
      </w:r>
      <w:r w:rsidR="002B779C" w:rsidRPr="00995282">
        <w:rPr>
          <w:rFonts w:ascii="Arial" w:hAnsi="Arial" w:cs="Arial"/>
          <w:sz w:val="24"/>
          <w:szCs w:val="24"/>
          <w:lang w:val="en-GB"/>
        </w:rPr>
        <w:t>s</w:t>
      </w:r>
      <w:r w:rsidRPr="00995282">
        <w:rPr>
          <w:rFonts w:ascii="Arial" w:hAnsi="Arial" w:cs="Arial"/>
          <w:sz w:val="24"/>
          <w:szCs w:val="24"/>
          <w:lang w:val="en-GB"/>
        </w:rPr>
        <w:t xml:space="preserve"> not identifying S</w:t>
      </w:r>
      <w:r w:rsidR="002B779C" w:rsidRPr="00995282">
        <w:rPr>
          <w:rFonts w:ascii="Arial" w:hAnsi="Arial" w:cs="Arial"/>
          <w:sz w:val="24"/>
          <w:szCs w:val="24"/>
          <w:lang w:val="en-GB"/>
        </w:rPr>
        <w:t>im</w:t>
      </w:r>
      <w:r w:rsidRPr="00995282">
        <w:rPr>
          <w:rFonts w:ascii="Arial" w:hAnsi="Arial" w:cs="Arial"/>
          <w:sz w:val="24"/>
          <w:szCs w:val="24"/>
          <w:lang w:val="en-GB"/>
        </w:rPr>
        <w:t>on as being coerced</w:t>
      </w:r>
      <w:r w:rsidR="002B779C" w:rsidRPr="00995282">
        <w:rPr>
          <w:rFonts w:ascii="Arial" w:hAnsi="Arial" w:cs="Arial"/>
          <w:sz w:val="24"/>
          <w:szCs w:val="24"/>
          <w:lang w:val="en-GB"/>
        </w:rPr>
        <w:t xml:space="preserve"> and controlled by Peter.</w:t>
      </w:r>
    </w:p>
    <w:p w14:paraId="64DC2E8D" w14:textId="27DA8954" w:rsidR="00C73930" w:rsidRPr="00995282" w:rsidRDefault="002B779C" w:rsidP="00995282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  <w:lang w:val="en-GB"/>
        </w:rPr>
      </w:pPr>
      <w:r w:rsidRPr="00995282">
        <w:rPr>
          <w:rFonts w:ascii="Arial" w:hAnsi="Arial" w:cs="Arial"/>
          <w:sz w:val="24"/>
          <w:szCs w:val="24"/>
          <w:lang w:val="en-GB"/>
        </w:rPr>
        <w:t>Professionals not understanding that Simon did have care and support needs.</w:t>
      </w:r>
    </w:p>
    <w:p w14:paraId="2A237AB4" w14:textId="663504AC" w:rsidR="00C73930" w:rsidRPr="00995282" w:rsidRDefault="002B779C" w:rsidP="00995282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  <w:lang w:val="en-GB"/>
        </w:rPr>
      </w:pPr>
      <w:r w:rsidRPr="00995282">
        <w:rPr>
          <w:rFonts w:ascii="Arial" w:hAnsi="Arial" w:cs="Arial"/>
          <w:sz w:val="24"/>
          <w:szCs w:val="24"/>
          <w:lang w:val="en-GB"/>
        </w:rPr>
        <w:t>Impact of unconscious bias by professionals and how this impacted on Simon</w:t>
      </w:r>
      <w:r w:rsidR="00995282" w:rsidRPr="00995282">
        <w:rPr>
          <w:rFonts w:ascii="Arial" w:hAnsi="Arial" w:cs="Arial"/>
          <w:sz w:val="24"/>
          <w:szCs w:val="24"/>
          <w:lang w:val="en-GB"/>
        </w:rPr>
        <w:t>.</w:t>
      </w:r>
    </w:p>
    <w:p w14:paraId="6D73B5BB" w14:textId="76081F60" w:rsidR="002B779C" w:rsidRPr="00995282" w:rsidRDefault="002B779C" w:rsidP="00995282">
      <w:pPr>
        <w:pStyle w:val="ListParagraph"/>
        <w:numPr>
          <w:ilvl w:val="0"/>
          <w:numId w:val="24"/>
        </w:numPr>
        <w:spacing w:after="120"/>
        <w:ind w:left="357" w:hanging="357"/>
        <w:rPr>
          <w:rFonts w:ascii="Arial" w:hAnsi="Arial" w:cs="Arial"/>
          <w:sz w:val="24"/>
          <w:szCs w:val="24"/>
          <w:lang w:val="en-GB"/>
        </w:rPr>
      </w:pPr>
      <w:r w:rsidRPr="00995282">
        <w:rPr>
          <w:rFonts w:ascii="Arial" w:hAnsi="Arial" w:cs="Arial"/>
          <w:sz w:val="24"/>
          <w:szCs w:val="24"/>
          <w:lang w:val="en-GB"/>
        </w:rPr>
        <w:t>Impact</w:t>
      </w:r>
      <w:r w:rsidRPr="00995282">
        <w:rPr>
          <w:rFonts w:ascii="Arial" w:hAnsi="Arial" w:cs="Arial"/>
          <w:sz w:val="24"/>
          <w:szCs w:val="24"/>
        </w:rPr>
        <w:t xml:space="preserve"> of Covid</w:t>
      </w:r>
      <w:r w:rsidRPr="00995282">
        <w:rPr>
          <w:rFonts w:ascii="Arial" w:hAnsi="Arial" w:cs="Arial"/>
          <w:sz w:val="24"/>
          <w:szCs w:val="24"/>
          <w:lang w:val="en-GB"/>
        </w:rPr>
        <w:t xml:space="preserve"> 19 and the management of risk.</w:t>
      </w:r>
    </w:p>
    <w:p w14:paraId="3C4F2F49" w14:textId="77777777" w:rsidR="005B52A8" w:rsidRPr="00436D08" w:rsidRDefault="005B52A8" w:rsidP="00436D08">
      <w:pPr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D62B49E" w14:textId="6D03C8F5" w:rsidR="005B52A8" w:rsidRPr="00D72A53" w:rsidRDefault="003A55BF" w:rsidP="006C2533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Recommendations</w:t>
      </w:r>
    </w:p>
    <w:p w14:paraId="507ECC99" w14:textId="77777777" w:rsidR="00397FBB" w:rsidRPr="00D72A53" w:rsidRDefault="00397FBB" w:rsidP="00397FBB">
      <w:pP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</w:p>
    <w:p w14:paraId="6E289D4C" w14:textId="51F2B7AE" w:rsidR="00397FBB" w:rsidRPr="00AE4C9B" w:rsidRDefault="003A55BF" w:rsidP="006C2533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  <w:lang w:val="en-GB"/>
        </w:rPr>
      </w:pPr>
      <w:r w:rsidRPr="006C2533">
        <w:rPr>
          <w:rFonts w:ascii="Arial" w:hAnsi="Arial" w:cs="Arial"/>
          <w:sz w:val="24"/>
          <w:szCs w:val="24"/>
          <w:lang w:val="en-GB"/>
        </w:rPr>
        <w:t xml:space="preserve">Adult Social Care and </w:t>
      </w:r>
      <w:r w:rsidR="00AE4C9B" w:rsidRPr="006C2533">
        <w:rPr>
          <w:rFonts w:ascii="Arial" w:hAnsi="Arial" w:cs="Arial"/>
          <w:sz w:val="24"/>
          <w:szCs w:val="24"/>
          <w:lang w:val="en-GB"/>
        </w:rPr>
        <w:t>agencies</w:t>
      </w:r>
      <w:r w:rsidRPr="006C2533">
        <w:rPr>
          <w:rFonts w:ascii="Arial" w:hAnsi="Arial" w:cs="Arial"/>
          <w:sz w:val="24"/>
          <w:szCs w:val="24"/>
          <w:lang w:val="en-GB"/>
        </w:rPr>
        <w:t xml:space="preserve"> identified in this review</w:t>
      </w:r>
      <w:r w:rsidR="00AE4C9B" w:rsidRPr="006C2533">
        <w:rPr>
          <w:rFonts w:ascii="Arial" w:hAnsi="Arial" w:cs="Arial"/>
          <w:sz w:val="24"/>
          <w:szCs w:val="24"/>
          <w:lang w:val="en-GB"/>
        </w:rPr>
        <w:t>,</w:t>
      </w:r>
      <w:r w:rsidRPr="006C2533">
        <w:rPr>
          <w:rFonts w:ascii="Arial" w:hAnsi="Arial" w:cs="Arial"/>
          <w:sz w:val="24"/>
          <w:szCs w:val="24"/>
          <w:lang w:val="en-GB"/>
        </w:rPr>
        <w:t xml:space="preserve"> t</w:t>
      </w:r>
      <w:r w:rsidR="00383A01" w:rsidRPr="006C2533">
        <w:rPr>
          <w:rFonts w:ascii="Arial" w:hAnsi="Arial" w:cs="Arial"/>
          <w:sz w:val="24"/>
          <w:szCs w:val="24"/>
          <w:lang w:val="en-GB"/>
        </w:rPr>
        <w:t>ake appropriate steps as identified to ensure it</w:t>
      </w:r>
      <w:r w:rsidR="00162AF4">
        <w:rPr>
          <w:rFonts w:ascii="Arial" w:hAnsi="Arial" w:cs="Arial"/>
          <w:sz w:val="24"/>
          <w:szCs w:val="24"/>
          <w:lang w:val="en-GB"/>
        </w:rPr>
        <w:t xml:space="preserve"> is</w:t>
      </w:r>
      <w:r w:rsidR="00383A01" w:rsidRPr="006C2533">
        <w:rPr>
          <w:rFonts w:ascii="Arial" w:hAnsi="Arial" w:cs="Arial"/>
          <w:sz w:val="24"/>
          <w:szCs w:val="24"/>
          <w:lang w:val="en-GB"/>
        </w:rPr>
        <w:t xml:space="preserve"> consistently meeting its Care Act 2014 duties to support adults with care and support needs, especially in relation to alc</w:t>
      </w:r>
      <w:r w:rsidR="00AE4C9B" w:rsidRPr="006C2533">
        <w:rPr>
          <w:rFonts w:ascii="Arial" w:hAnsi="Arial" w:cs="Arial"/>
          <w:sz w:val="24"/>
          <w:szCs w:val="24"/>
          <w:lang w:val="en-GB"/>
        </w:rPr>
        <w:t>ohol misuse.</w:t>
      </w:r>
    </w:p>
    <w:p w14:paraId="67AA9097" w14:textId="2AACEC4C" w:rsidR="00AE4C9B" w:rsidRDefault="00AE4C9B" w:rsidP="006C2533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SSAB </w:t>
      </w:r>
      <w:r w:rsidR="0028453C">
        <w:rPr>
          <w:rFonts w:ascii="Arial" w:hAnsi="Arial" w:cs="Arial"/>
          <w:sz w:val="24"/>
          <w:szCs w:val="24"/>
          <w:lang w:val="en-GB"/>
        </w:rPr>
        <w:t>r</w:t>
      </w:r>
      <w:r>
        <w:rPr>
          <w:rFonts w:ascii="Arial" w:hAnsi="Arial" w:cs="Arial"/>
          <w:sz w:val="24"/>
          <w:szCs w:val="24"/>
          <w:lang w:val="en-GB"/>
        </w:rPr>
        <w:t>aise awareness with agencies about legal power guidance to best support vulnerable ch</w:t>
      </w:r>
      <w:r w:rsidR="006C7FC6">
        <w:rPr>
          <w:rFonts w:ascii="Arial" w:hAnsi="Arial" w:cs="Arial"/>
          <w:sz w:val="24"/>
          <w:szCs w:val="24"/>
          <w:lang w:val="en-GB"/>
        </w:rPr>
        <w:t>ronic drinkers.</w:t>
      </w:r>
    </w:p>
    <w:p w14:paraId="55E6EEA9" w14:textId="531BD204" w:rsidR="006C7FC6" w:rsidRDefault="006C7FC6" w:rsidP="006C2533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Agencies</w:t>
      </w:r>
      <w:r w:rsidR="0028453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to </w:t>
      </w:r>
      <w:r w:rsidR="0028453C">
        <w:rPr>
          <w:rFonts w:ascii="Arial" w:hAnsi="Arial" w:cs="Arial"/>
          <w:sz w:val="24"/>
          <w:szCs w:val="24"/>
          <w:lang w:val="en-GB"/>
        </w:rPr>
        <w:t>continue</w:t>
      </w:r>
      <w:r>
        <w:rPr>
          <w:rFonts w:ascii="Arial" w:hAnsi="Arial" w:cs="Arial"/>
          <w:sz w:val="24"/>
          <w:szCs w:val="24"/>
          <w:lang w:val="en-GB"/>
        </w:rPr>
        <w:t xml:space="preserve"> to embed professional curiosity and critical challenge within </w:t>
      </w:r>
      <w:r>
        <w:rPr>
          <w:rFonts w:ascii="Arial" w:hAnsi="Arial" w:cs="Arial"/>
          <w:sz w:val="24"/>
          <w:szCs w:val="24"/>
          <w:lang w:val="en-GB"/>
        </w:rPr>
        <w:lastRenderedPageBreak/>
        <w:t>their organisation</w:t>
      </w:r>
    </w:p>
    <w:p w14:paraId="118E8B6E" w14:textId="6AD14B2B" w:rsidR="006C7FC6" w:rsidRDefault="0028453C" w:rsidP="006C2533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Agencies</w:t>
      </w:r>
      <w:r w:rsidR="006C7FC6">
        <w:rPr>
          <w:rFonts w:ascii="Arial" w:hAnsi="Arial" w:cs="Arial"/>
          <w:sz w:val="24"/>
          <w:szCs w:val="24"/>
          <w:lang w:val="en-GB"/>
        </w:rPr>
        <w:t xml:space="preserve"> support professionals to understand unconscious bias.</w:t>
      </w:r>
    </w:p>
    <w:p w14:paraId="06ABD535" w14:textId="21C49353" w:rsidR="006C7FC6" w:rsidRDefault="005211E5" w:rsidP="006C2533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agencies in the review take steps to improve record keeping and sharing of information</w:t>
      </w:r>
    </w:p>
    <w:p w14:paraId="0059C886" w14:textId="6FCA8013" w:rsidR="005211E5" w:rsidRPr="0094632F" w:rsidRDefault="0028453C" w:rsidP="006C2533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Agencies</w:t>
      </w:r>
      <w:r w:rsidR="005211E5">
        <w:rPr>
          <w:rFonts w:ascii="Arial" w:hAnsi="Arial" w:cs="Arial"/>
          <w:sz w:val="24"/>
          <w:szCs w:val="24"/>
          <w:lang w:val="en-GB"/>
        </w:rPr>
        <w:t xml:space="preserve"> to ensure that professionals under</w:t>
      </w:r>
      <w:r>
        <w:rPr>
          <w:rFonts w:ascii="Arial" w:hAnsi="Arial" w:cs="Arial"/>
          <w:sz w:val="24"/>
          <w:szCs w:val="24"/>
          <w:lang w:val="en-GB"/>
        </w:rPr>
        <w:t xml:space="preserve">stand aspects of exploitation, including cuckooing, modern slavery and how </w:t>
      </w:r>
      <w:r w:rsidR="00162AF4">
        <w:rPr>
          <w:rFonts w:ascii="Arial" w:hAnsi="Arial" w:cs="Arial"/>
          <w:sz w:val="24"/>
          <w:szCs w:val="24"/>
          <w:lang w:val="en-GB"/>
        </w:rPr>
        <w:t>these impact</w:t>
      </w:r>
      <w:r>
        <w:rPr>
          <w:rFonts w:ascii="Arial" w:hAnsi="Arial" w:cs="Arial"/>
          <w:sz w:val="24"/>
          <w:szCs w:val="24"/>
          <w:lang w:val="en-GB"/>
        </w:rPr>
        <w:t xml:space="preserve"> on a person’s care and support needs.</w:t>
      </w:r>
    </w:p>
    <w:p w14:paraId="2B6CF167" w14:textId="77777777" w:rsidR="000F74C5" w:rsidRDefault="000F74C5" w:rsidP="00995282">
      <w:pPr>
        <w:tabs>
          <w:tab w:val="left" w:pos="3400"/>
        </w:tabs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B745147" w14:textId="3187379B" w:rsidR="00233009" w:rsidRDefault="00995282" w:rsidP="000F74C5">
      <w:pPr>
        <w:tabs>
          <w:tab w:val="left" w:pos="3400"/>
        </w:tabs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9870B3">
        <w:rPr>
          <w:rFonts w:ascii="Arial" w:hAnsi="Arial" w:cs="Arial"/>
          <w:b/>
          <w:bCs/>
          <w:color w:val="7030A0"/>
          <w:sz w:val="24"/>
          <w:szCs w:val="24"/>
        </w:rPr>
        <w:t>Resources</w:t>
      </w:r>
    </w:p>
    <w:p w14:paraId="6ED6AFE8" w14:textId="77777777" w:rsidR="009870B3" w:rsidRDefault="009870B3" w:rsidP="000F74C5">
      <w:pPr>
        <w:tabs>
          <w:tab w:val="left" w:pos="3400"/>
        </w:tabs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A5D8179" w14:textId="2B39F89C" w:rsidR="009870B3" w:rsidRDefault="009870B3" w:rsidP="009870B3">
      <w:pPr>
        <w:tabs>
          <w:tab w:val="left" w:pos="3400"/>
        </w:tabs>
        <w:rPr>
          <w:rFonts w:ascii="Arial" w:hAnsi="Arial" w:cs="Arial"/>
          <w:sz w:val="24"/>
          <w:szCs w:val="24"/>
        </w:rPr>
      </w:pPr>
      <w:r w:rsidRPr="009870B3">
        <w:rPr>
          <w:rFonts w:ascii="Arial" w:hAnsi="Arial" w:cs="Arial"/>
          <w:b/>
          <w:bCs/>
          <w:sz w:val="24"/>
          <w:szCs w:val="24"/>
        </w:rPr>
        <w:t>Alcohol Change</w:t>
      </w:r>
      <w:r w:rsidRPr="009870B3">
        <w:rPr>
          <w:rFonts w:ascii="Arial" w:hAnsi="Arial" w:cs="Arial"/>
          <w:sz w:val="24"/>
          <w:szCs w:val="24"/>
        </w:rPr>
        <w:t xml:space="preserve"> -  </w:t>
      </w:r>
      <w:hyperlink r:id="rId9" w:history="1">
        <w:r w:rsidR="00316E23" w:rsidRPr="00194570">
          <w:rPr>
            <w:rStyle w:val="Hyperlink"/>
            <w:rFonts w:ascii="Arial" w:hAnsi="Arial" w:cs="Arial"/>
            <w:sz w:val="24"/>
            <w:szCs w:val="24"/>
          </w:rPr>
          <w:t>https://alcoholchange.org.uk/publication/how-to-use-legal-powers-to-safeguard-highly-vulnerable-dependent-drinkers</w:t>
        </w:r>
      </w:hyperlink>
    </w:p>
    <w:p w14:paraId="735B24DB" w14:textId="77777777" w:rsidR="00316E23" w:rsidRPr="009870B3" w:rsidRDefault="00316E23" w:rsidP="009870B3">
      <w:pPr>
        <w:tabs>
          <w:tab w:val="left" w:pos="3400"/>
        </w:tabs>
        <w:rPr>
          <w:rFonts w:ascii="Arial" w:hAnsi="Arial" w:cs="Arial"/>
          <w:sz w:val="24"/>
          <w:szCs w:val="24"/>
        </w:rPr>
      </w:pPr>
    </w:p>
    <w:p w14:paraId="4C6A319A" w14:textId="03DA3AFF" w:rsidR="009870B3" w:rsidRDefault="009870B3" w:rsidP="009870B3">
      <w:pPr>
        <w:tabs>
          <w:tab w:val="left" w:pos="3400"/>
        </w:tabs>
        <w:rPr>
          <w:rFonts w:ascii="Arial" w:hAnsi="Arial" w:cs="Arial"/>
          <w:sz w:val="24"/>
          <w:szCs w:val="24"/>
        </w:rPr>
      </w:pPr>
      <w:r w:rsidRPr="009870B3">
        <w:rPr>
          <w:rFonts w:ascii="Arial" w:hAnsi="Arial" w:cs="Arial"/>
          <w:b/>
          <w:bCs/>
          <w:sz w:val="24"/>
          <w:szCs w:val="24"/>
        </w:rPr>
        <w:t>Adult Safeguarding Essentials</w:t>
      </w:r>
      <w:r w:rsidRPr="009870B3">
        <w:rPr>
          <w:rFonts w:ascii="Arial" w:hAnsi="Arial" w:cs="Arial"/>
          <w:sz w:val="24"/>
          <w:szCs w:val="24"/>
        </w:rPr>
        <w:t xml:space="preserve"> - </w:t>
      </w:r>
      <w:hyperlink r:id="rId10" w:history="1">
        <w:r w:rsidRPr="00194570">
          <w:rPr>
            <w:rStyle w:val="Hyperlink"/>
            <w:rFonts w:ascii="Arial" w:hAnsi="Arial" w:cs="Arial"/>
            <w:sz w:val="24"/>
            <w:szCs w:val="24"/>
          </w:rPr>
          <w:t>surreyskillsacademy@surreycc.gov.uk</w:t>
        </w:r>
      </w:hyperlink>
    </w:p>
    <w:p w14:paraId="3B8D2560" w14:textId="77777777" w:rsidR="009870B3" w:rsidRDefault="009870B3" w:rsidP="009870B3">
      <w:pPr>
        <w:tabs>
          <w:tab w:val="left" w:pos="3400"/>
        </w:tabs>
        <w:rPr>
          <w:rFonts w:ascii="Arial" w:hAnsi="Arial" w:cs="Arial"/>
          <w:sz w:val="24"/>
          <w:szCs w:val="24"/>
        </w:rPr>
      </w:pPr>
    </w:p>
    <w:p w14:paraId="247FF968" w14:textId="288DDFBC" w:rsidR="009870B3" w:rsidRDefault="009870B3" w:rsidP="009870B3">
      <w:pPr>
        <w:tabs>
          <w:tab w:val="left" w:pos="3400"/>
        </w:tabs>
        <w:rPr>
          <w:rFonts w:ascii="Arial" w:hAnsi="Arial" w:cs="Arial"/>
          <w:sz w:val="24"/>
          <w:szCs w:val="24"/>
        </w:rPr>
      </w:pPr>
      <w:r w:rsidRPr="00162AF4">
        <w:rPr>
          <w:rFonts w:ascii="Arial" w:hAnsi="Arial" w:cs="Arial"/>
          <w:b/>
          <w:bCs/>
          <w:sz w:val="24"/>
          <w:szCs w:val="24"/>
        </w:rPr>
        <w:t xml:space="preserve">Cuckooing </w:t>
      </w:r>
      <w:r w:rsidRPr="00162AF4">
        <w:rPr>
          <w:rFonts w:ascii="Arial" w:hAnsi="Arial" w:cs="Arial"/>
          <w:sz w:val="24"/>
          <w:szCs w:val="24"/>
        </w:rPr>
        <w:t xml:space="preserve">- </w:t>
      </w:r>
      <w:hyperlink r:id="rId11" w:history="1">
        <w:r w:rsidR="00162AF4" w:rsidRPr="00162AF4">
          <w:rPr>
            <w:rStyle w:val="Hyperlink"/>
            <w:rFonts w:ascii="Arial" w:hAnsi="Arial" w:cs="Arial"/>
            <w:sz w:val="24"/>
            <w:szCs w:val="24"/>
          </w:rPr>
          <w:t>Webinar Series - Surrey Safeguarding Adults Board</w:t>
        </w:r>
      </w:hyperlink>
    </w:p>
    <w:p w14:paraId="0C2C6807" w14:textId="77777777" w:rsidR="00316E23" w:rsidRPr="009870B3" w:rsidRDefault="00316E23" w:rsidP="009870B3">
      <w:pPr>
        <w:tabs>
          <w:tab w:val="left" w:pos="3400"/>
        </w:tabs>
        <w:rPr>
          <w:rFonts w:ascii="Arial" w:hAnsi="Arial" w:cs="Arial"/>
          <w:sz w:val="24"/>
          <w:szCs w:val="24"/>
        </w:rPr>
      </w:pPr>
    </w:p>
    <w:p w14:paraId="2427C798" w14:textId="77777777" w:rsidR="00FD7BFB" w:rsidRPr="00D72A53" w:rsidRDefault="00FD7BFB" w:rsidP="00436D08">
      <w:pPr>
        <w:rPr>
          <w:rFonts w:ascii="Arial" w:hAnsi="Arial" w:cs="Arial"/>
          <w:color w:val="7030A0"/>
          <w:kern w:val="24"/>
          <w:sz w:val="24"/>
          <w:szCs w:val="24"/>
        </w:rPr>
      </w:pPr>
    </w:p>
    <w:p w14:paraId="0F082937" w14:textId="2E53EBF7" w:rsidR="0006752F" w:rsidRPr="00FF5F68" w:rsidRDefault="00525163" w:rsidP="0020559C">
      <w:pPr>
        <w:jc w:val="center"/>
        <w:rPr>
          <w:rFonts w:ascii="Arial" w:hAnsi="Arial" w:cs="Arial"/>
          <w:b/>
          <w:bCs/>
          <w:color w:val="7030A0"/>
          <w:kern w:val="24"/>
          <w:sz w:val="24"/>
          <w:szCs w:val="24"/>
        </w:rPr>
      </w:pPr>
      <w:r w:rsidRPr="00D72A53">
        <w:rPr>
          <w:rFonts w:ascii="Arial" w:hAnsi="Arial" w:cs="Arial"/>
          <w:b/>
          <w:bCs/>
          <w:color w:val="7030A0"/>
          <w:kern w:val="24"/>
          <w:sz w:val="24"/>
          <w:szCs w:val="24"/>
        </w:rPr>
        <w:t xml:space="preserve">Thank you for taking the time to read this learning </w:t>
      </w:r>
      <w:r w:rsidR="00FF5F68" w:rsidRPr="00D72A53">
        <w:rPr>
          <w:rFonts w:ascii="Arial" w:hAnsi="Arial" w:cs="Arial"/>
          <w:b/>
          <w:bCs/>
          <w:color w:val="7030A0"/>
          <w:kern w:val="24"/>
          <w:sz w:val="24"/>
          <w:szCs w:val="24"/>
        </w:rPr>
        <w:t>briefing</w:t>
      </w:r>
      <w:r w:rsidRPr="00D72A53">
        <w:rPr>
          <w:rFonts w:ascii="Arial" w:hAnsi="Arial" w:cs="Arial"/>
          <w:b/>
          <w:bCs/>
          <w:color w:val="7030A0"/>
          <w:kern w:val="24"/>
          <w:sz w:val="24"/>
          <w:szCs w:val="24"/>
        </w:rPr>
        <w:t xml:space="preserve">. If you would like to provide any feedback or have any questions, please email:  </w:t>
      </w:r>
      <w:r w:rsidR="00FF5F68" w:rsidRPr="00162AF4">
        <w:rPr>
          <w:rFonts w:ascii="Arial" w:hAnsi="Arial" w:cs="Arial"/>
          <w:b/>
          <w:bCs/>
          <w:color w:val="7030A0"/>
          <w:kern w:val="24"/>
          <w:sz w:val="24"/>
          <w:szCs w:val="24"/>
        </w:rPr>
        <w:t>DHR</w:t>
      </w:r>
      <w:r w:rsidRPr="00162AF4">
        <w:rPr>
          <w:rFonts w:ascii="Arial" w:hAnsi="Arial" w:cs="Arial"/>
          <w:b/>
          <w:bCs/>
          <w:color w:val="7030A0"/>
          <w:kern w:val="24"/>
          <w:sz w:val="24"/>
          <w:szCs w:val="24"/>
        </w:rPr>
        <w:t>@surreycc.gov.uk</w:t>
      </w:r>
      <w:r w:rsidR="00FD7BFB" w:rsidRPr="00FF5F68">
        <w:rPr>
          <w:rFonts w:ascii="Arial" w:hAnsi="Arial" w:cs="Arial"/>
          <w:b/>
          <w:bCs/>
          <w:noProof/>
          <w:color w:val="7030A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AD97715" wp14:editId="09B6C61C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81900" cy="165100"/>
                <wp:effectExtent l="0" t="0" r="0" b="6350"/>
                <wp:wrapTight wrapText="bothSides">
                  <wp:wrapPolygon edited="0">
                    <wp:start x="0" y="0"/>
                    <wp:lineTo x="0" y="19938"/>
                    <wp:lineTo x="21546" y="19938"/>
                    <wp:lineTo x="21546" y="0"/>
                    <wp:lineTo x="0" y="0"/>
                  </wp:wrapPolygon>
                </wp:wrapTight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651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AECE" id="Rectangle 3" o:spid="_x0000_s1026" alt="&quot;&quot;" style="position:absolute;margin-left:545.8pt;margin-top:0;width:597pt;height:13pt;z-index:-251641856;visibility:visible;mso-wrap-style:square;mso-height-percent:0;mso-wrap-distance-left:9pt;mso-wrap-distance-top:0;mso-wrap-distance-right:9pt;mso-wrap-distance-bottom:0;mso-position-horizontal:righ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" fillcolor="#7030a0" stroked="f" strokeweight="1pt">
                <w10:wrap type="tight" anchorx="page" anchory="page"/>
              </v:rect>
            </w:pict>
          </mc:Fallback>
        </mc:AlternateContent>
      </w:r>
      <w:r w:rsidR="00162AF4">
        <w:rPr>
          <w:rFonts w:ascii="Arial" w:hAnsi="Arial" w:cs="Arial"/>
          <w:b/>
          <w:bCs/>
          <w:color w:val="7030A0"/>
          <w:kern w:val="24"/>
          <w:sz w:val="24"/>
          <w:szCs w:val="24"/>
        </w:rPr>
        <w:t xml:space="preserve"> or </w:t>
      </w:r>
      <w:r w:rsidR="00162AF4" w:rsidRPr="00162AF4">
        <w:rPr>
          <w:rFonts w:ascii="Arial" w:hAnsi="Arial" w:cs="Arial"/>
          <w:b/>
          <w:bCs/>
          <w:color w:val="7030A0"/>
          <w:kern w:val="24"/>
          <w:sz w:val="24"/>
          <w:szCs w:val="24"/>
        </w:rPr>
        <w:t>surreysafeguarding.adultsboard@surreycc.gov.uk</w:t>
      </w:r>
    </w:p>
    <w:sectPr w:rsidR="0006752F" w:rsidRPr="00FF5F68" w:rsidSect="006733BA">
      <w:type w:val="continuous"/>
      <w:pgSz w:w="11906" w:h="16838"/>
      <w:pgMar w:top="567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CCA5C" w14:textId="77777777" w:rsidR="007D3347" w:rsidRDefault="007D3347" w:rsidP="00233009">
      <w:r>
        <w:separator/>
      </w:r>
    </w:p>
  </w:endnote>
  <w:endnote w:type="continuationSeparator" w:id="0">
    <w:p w14:paraId="6B59C2AE" w14:textId="77777777" w:rsidR="007D3347" w:rsidRDefault="007D3347" w:rsidP="0023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C501" w14:textId="77777777" w:rsidR="007D3347" w:rsidRDefault="007D3347" w:rsidP="00233009">
      <w:r>
        <w:separator/>
      </w:r>
    </w:p>
  </w:footnote>
  <w:footnote w:type="continuationSeparator" w:id="0">
    <w:p w14:paraId="2B9FB387" w14:textId="77777777" w:rsidR="007D3347" w:rsidRDefault="007D3347" w:rsidP="0023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9784" w14:textId="663B483E" w:rsidR="00462A80" w:rsidRDefault="00106C2E">
    <w:pPr>
      <w:pStyle w:val="Header"/>
      <w:rPr>
        <w:noProof/>
      </w:rPr>
    </w:pPr>
    <w:r w:rsidRPr="00106C2E">
      <w:rPr>
        <w:rFonts w:ascii="Arial" w:eastAsia="Aptos" w:hAnsi="Arial" w:cs="Times New Roman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B254FF6" wp14:editId="6BE2E08E">
          <wp:simplePos x="0" y="0"/>
          <wp:positionH relativeFrom="page">
            <wp:posOffset>5303520</wp:posOffset>
          </wp:positionH>
          <wp:positionV relativeFrom="page">
            <wp:posOffset>167640</wp:posOffset>
          </wp:positionV>
          <wp:extent cx="1744916" cy="1228520"/>
          <wp:effectExtent l="0" t="0" r="8255" b="0"/>
          <wp:wrapNone/>
          <wp:docPr id="54526630" name="Picture 5452663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16" cy="122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46B">
      <w:rPr>
        <w:noProof/>
        <w:sz w:val="96"/>
        <w:szCs w:val="96"/>
        <w:lang w:eastAsia="en-GB"/>
      </w:rPr>
      <w:drawing>
        <wp:inline distT="0" distB="0" distL="0" distR="0" wp14:anchorId="035633D3" wp14:editId="3AE7A15B">
          <wp:extent cx="2178539" cy="678180"/>
          <wp:effectExtent l="0" t="0" r="0" b="7620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821" cy="696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A80">
      <w:rPr>
        <w:noProof/>
      </w:rPr>
      <w:t xml:space="preserve">         </w:t>
    </w:r>
  </w:p>
  <w:p w14:paraId="39FFC0BE" w14:textId="30D7EA10" w:rsidR="00250FEB" w:rsidRDefault="00250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501D"/>
    <w:multiLevelType w:val="hybridMultilevel"/>
    <w:tmpl w:val="4C7C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64A"/>
    <w:multiLevelType w:val="hybridMultilevel"/>
    <w:tmpl w:val="5550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2C5"/>
    <w:multiLevelType w:val="hybridMultilevel"/>
    <w:tmpl w:val="BF966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168CA"/>
    <w:multiLevelType w:val="hybridMultilevel"/>
    <w:tmpl w:val="A9CA32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44C4"/>
    <w:multiLevelType w:val="hybridMultilevel"/>
    <w:tmpl w:val="19D2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05AC8"/>
    <w:multiLevelType w:val="hybridMultilevel"/>
    <w:tmpl w:val="F418F7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C557F53"/>
    <w:multiLevelType w:val="hybridMultilevel"/>
    <w:tmpl w:val="BE50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46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C8687D"/>
    <w:multiLevelType w:val="hybridMultilevel"/>
    <w:tmpl w:val="8F2E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5F08"/>
    <w:multiLevelType w:val="hybridMultilevel"/>
    <w:tmpl w:val="20BC3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65BE1"/>
    <w:multiLevelType w:val="hybridMultilevel"/>
    <w:tmpl w:val="0F06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573EB"/>
    <w:multiLevelType w:val="hybridMultilevel"/>
    <w:tmpl w:val="A3B00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26B6B"/>
    <w:multiLevelType w:val="hybridMultilevel"/>
    <w:tmpl w:val="914A6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06F1"/>
    <w:multiLevelType w:val="hybridMultilevel"/>
    <w:tmpl w:val="85BAD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00B30"/>
    <w:multiLevelType w:val="hybridMultilevel"/>
    <w:tmpl w:val="C4441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E64C7"/>
    <w:multiLevelType w:val="hybridMultilevel"/>
    <w:tmpl w:val="F01E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13E6B"/>
    <w:multiLevelType w:val="hybridMultilevel"/>
    <w:tmpl w:val="108AF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27F78"/>
    <w:multiLevelType w:val="hybridMultilevel"/>
    <w:tmpl w:val="A6EC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932AC"/>
    <w:multiLevelType w:val="hybridMultilevel"/>
    <w:tmpl w:val="53F09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B014D1"/>
    <w:multiLevelType w:val="hybridMultilevel"/>
    <w:tmpl w:val="94DE7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71DC7"/>
    <w:multiLevelType w:val="hybridMultilevel"/>
    <w:tmpl w:val="8124D5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15F4C"/>
    <w:multiLevelType w:val="hybridMultilevel"/>
    <w:tmpl w:val="5BC8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30C72"/>
    <w:multiLevelType w:val="hybridMultilevel"/>
    <w:tmpl w:val="6590B1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585D0D"/>
    <w:multiLevelType w:val="hybridMultilevel"/>
    <w:tmpl w:val="1462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42106"/>
    <w:multiLevelType w:val="hybridMultilevel"/>
    <w:tmpl w:val="33C8F6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B5215"/>
    <w:multiLevelType w:val="hybridMultilevel"/>
    <w:tmpl w:val="69EA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D726F"/>
    <w:multiLevelType w:val="hybridMultilevel"/>
    <w:tmpl w:val="A5A05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1384E"/>
    <w:multiLevelType w:val="hybridMultilevel"/>
    <w:tmpl w:val="E4C6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54D4E"/>
    <w:multiLevelType w:val="hybridMultilevel"/>
    <w:tmpl w:val="E0DA8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721058">
    <w:abstractNumId w:val="3"/>
  </w:num>
  <w:num w:numId="2" w16cid:durableId="1475681811">
    <w:abstractNumId w:val="24"/>
  </w:num>
  <w:num w:numId="3" w16cid:durableId="828904738">
    <w:abstractNumId w:val="19"/>
  </w:num>
  <w:num w:numId="4" w16cid:durableId="961808348">
    <w:abstractNumId w:val="8"/>
  </w:num>
  <w:num w:numId="5" w16cid:durableId="1383402939">
    <w:abstractNumId w:val="21"/>
  </w:num>
  <w:num w:numId="6" w16cid:durableId="1171720360">
    <w:abstractNumId w:val="15"/>
  </w:num>
  <w:num w:numId="7" w16cid:durableId="253709015">
    <w:abstractNumId w:val="7"/>
  </w:num>
  <w:num w:numId="8" w16cid:durableId="811022894">
    <w:abstractNumId w:val="6"/>
  </w:num>
  <w:num w:numId="9" w16cid:durableId="292488248">
    <w:abstractNumId w:val="25"/>
  </w:num>
  <w:num w:numId="10" w16cid:durableId="563757409">
    <w:abstractNumId w:val="26"/>
  </w:num>
  <w:num w:numId="11" w16cid:durableId="2135362040">
    <w:abstractNumId w:val="5"/>
  </w:num>
  <w:num w:numId="12" w16cid:durableId="1472598002">
    <w:abstractNumId w:val="20"/>
  </w:num>
  <w:num w:numId="13" w16cid:durableId="454754668">
    <w:abstractNumId w:val="13"/>
  </w:num>
  <w:num w:numId="14" w16cid:durableId="1373844832">
    <w:abstractNumId w:val="22"/>
  </w:num>
  <w:num w:numId="15" w16cid:durableId="1698770659">
    <w:abstractNumId w:val="27"/>
  </w:num>
  <w:num w:numId="16" w16cid:durableId="411514974">
    <w:abstractNumId w:val="4"/>
  </w:num>
  <w:num w:numId="17" w16cid:durableId="479617372">
    <w:abstractNumId w:val="17"/>
  </w:num>
  <w:num w:numId="18" w16cid:durableId="1802074067">
    <w:abstractNumId w:val="1"/>
  </w:num>
  <w:num w:numId="19" w16cid:durableId="628897608">
    <w:abstractNumId w:val="28"/>
  </w:num>
  <w:num w:numId="20" w16cid:durableId="322319164">
    <w:abstractNumId w:val="14"/>
  </w:num>
  <w:num w:numId="21" w16cid:durableId="1964268249">
    <w:abstractNumId w:val="0"/>
  </w:num>
  <w:num w:numId="22" w16cid:durableId="1787767775">
    <w:abstractNumId w:val="16"/>
  </w:num>
  <w:num w:numId="23" w16cid:durableId="1505977131">
    <w:abstractNumId w:val="11"/>
  </w:num>
  <w:num w:numId="24" w16cid:durableId="1761950819">
    <w:abstractNumId w:val="18"/>
  </w:num>
  <w:num w:numId="25" w16cid:durableId="1755282527">
    <w:abstractNumId w:val="2"/>
  </w:num>
  <w:num w:numId="26" w16cid:durableId="283270238">
    <w:abstractNumId w:val="10"/>
  </w:num>
  <w:num w:numId="27" w16cid:durableId="1558859111">
    <w:abstractNumId w:val="9"/>
  </w:num>
  <w:num w:numId="28" w16cid:durableId="484708934">
    <w:abstractNumId w:val="12"/>
  </w:num>
  <w:num w:numId="29" w16cid:durableId="12225930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09"/>
    <w:rsid w:val="00016DD4"/>
    <w:rsid w:val="00035EEE"/>
    <w:rsid w:val="00066F13"/>
    <w:rsid w:val="0006752F"/>
    <w:rsid w:val="000D546B"/>
    <w:rsid w:val="000F74C5"/>
    <w:rsid w:val="001043A8"/>
    <w:rsid w:val="00106C2E"/>
    <w:rsid w:val="00162767"/>
    <w:rsid w:val="00162AF4"/>
    <w:rsid w:val="0016575C"/>
    <w:rsid w:val="001908F0"/>
    <w:rsid w:val="001A409B"/>
    <w:rsid w:val="0020559C"/>
    <w:rsid w:val="00233009"/>
    <w:rsid w:val="00235F7C"/>
    <w:rsid w:val="00243CAD"/>
    <w:rsid w:val="00250FEB"/>
    <w:rsid w:val="0025483D"/>
    <w:rsid w:val="0028453C"/>
    <w:rsid w:val="00293B6D"/>
    <w:rsid w:val="002B779C"/>
    <w:rsid w:val="002E5470"/>
    <w:rsid w:val="002F01F8"/>
    <w:rsid w:val="00301CBD"/>
    <w:rsid w:val="00305B4B"/>
    <w:rsid w:val="00310E5C"/>
    <w:rsid w:val="00316E23"/>
    <w:rsid w:val="00332AE8"/>
    <w:rsid w:val="00336CF4"/>
    <w:rsid w:val="00383A01"/>
    <w:rsid w:val="003960F6"/>
    <w:rsid w:val="00397FBB"/>
    <w:rsid w:val="003A55BF"/>
    <w:rsid w:val="003B5FFA"/>
    <w:rsid w:val="003C24BB"/>
    <w:rsid w:val="003F1FAA"/>
    <w:rsid w:val="00436D08"/>
    <w:rsid w:val="00462A80"/>
    <w:rsid w:val="004B10A8"/>
    <w:rsid w:val="004B220E"/>
    <w:rsid w:val="004B272B"/>
    <w:rsid w:val="004B7ADF"/>
    <w:rsid w:val="004B7EFF"/>
    <w:rsid w:val="004C7384"/>
    <w:rsid w:val="004D65A5"/>
    <w:rsid w:val="004F21F4"/>
    <w:rsid w:val="00502B7A"/>
    <w:rsid w:val="005211E5"/>
    <w:rsid w:val="00525163"/>
    <w:rsid w:val="0054739C"/>
    <w:rsid w:val="0057765F"/>
    <w:rsid w:val="005B52A8"/>
    <w:rsid w:val="005C2AEA"/>
    <w:rsid w:val="005E3DA1"/>
    <w:rsid w:val="005F2EA9"/>
    <w:rsid w:val="005F716A"/>
    <w:rsid w:val="006206D3"/>
    <w:rsid w:val="006357EE"/>
    <w:rsid w:val="00640A3F"/>
    <w:rsid w:val="00661904"/>
    <w:rsid w:val="00663BB8"/>
    <w:rsid w:val="006733BA"/>
    <w:rsid w:val="006C2533"/>
    <w:rsid w:val="006C7FC6"/>
    <w:rsid w:val="006E5A8F"/>
    <w:rsid w:val="006F3DB7"/>
    <w:rsid w:val="00705074"/>
    <w:rsid w:val="00712E53"/>
    <w:rsid w:val="007248F3"/>
    <w:rsid w:val="00744E73"/>
    <w:rsid w:val="007856A5"/>
    <w:rsid w:val="007D3347"/>
    <w:rsid w:val="007D7B6A"/>
    <w:rsid w:val="00864BA4"/>
    <w:rsid w:val="008E0DCC"/>
    <w:rsid w:val="00915B6D"/>
    <w:rsid w:val="00920E35"/>
    <w:rsid w:val="00924042"/>
    <w:rsid w:val="00935125"/>
    <w:rsid w:val="0094632F"/>
    <w:rsid w:val="00964038"/>
    <w:rsid w:val="009733CD"/>
    <w:rsid w:val="00985AA3"/>
    <w:rsid w:val="009870B3"/>
    <w:rsid w:val="00995282"/>
    <w:rsid w:val="00A40A67"/>
    <w:rsid w:val="00A75615"/>
    <w:rsid w:val="00AD51EA"/>
    <w:rsid w:val="00AE0166"/>
    <w:rsid w:val="00AE4C9B"/>
    <w:rsid w:val="00B1032E"/>
    <w:rsid w:val="00B2583E"/>
    <w:rsid w:val="00B70B0D"/>
    <w:rsid w:val="00B821ED"/>
    <w:rsid w:val="00B83489"/>
    <w:rsid w:val="00BB3C22"/>
    <w:rsid w:val="00BC3441"/>
    <w:rsid w:val="00BF7D85"/>
    <w:rsid w:val="00C166FD"/>
    <w:rsid w:val="00C67491"/>
    <w:rsid w:val="00C73930"/>
    <w:rsid w:val="00C76472"/>
    <w:rsid w:val="00CA5DB0"/>
    <w:rsid w:val="00D2091E"/>
    <w:rsid w:val="00D52D24"/>
    <w:rsid w:val="00D72A53"/>
    <w:rsid w:val="00D93E0A"/>
    <w:rsid w:val="00DC0A8C"/>
    <w:rsid w:val="00DE2658"/>
    <w:rsid w:val="00DF03BC"/>
    <w:rsid w:val="00E06968"/>
    <w:rsid w:val="00E175E1"/>
    <w:rsid w:val="00E3516E"/>
    <w:rsid w:val="00E42805"/>
    <w:rsid w:val="00E908D6"/>
    <w:rsid w:val="00EC5041"/>
    <w:rsid w:val="00EC5C9D"/>
    <w:rsid w:val="00EE448F"/>
    <w:rsid w:val="00EE6F6F"/>
    <w:rsid w:val="00EF4D41"/>
    <w:rsid w:val="00F34C3A"/>
    <w:rsid w:val="00F6437B"/>
    <w:rsid w:val="00FD7BFB"/>
    <w:rsid w:val="00FE74B0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1376"/>
  <w15:chartTrackingRefBased/>
  <w15:docId w15:val="{7A41A1A0-6348-4BBE-B3AC-B3D3BED7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0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09"/>
  </w:style>
  <w:style w:type="paragraph" w:styleId="Footer">
    <w:name w:val="footer"/>
    <w:basedOn w:val="Normal"/>
    <w:link w:val="FooterChar"/>
    <w:uiPriority w:val="99"/>
    <w:unhideWhenUsed/>
    <w:rsid w:val="00233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09"/>
  </w:style>
  <w:style w:type="character" w:styleId="Hyperlink">
    <w:name w:val="Hyperlink"/>
    <w:basedOn w:val="DefaultParagraphFont"/>
    <w:uiPriority w:val="99"/>
    <w:unhideWhenUsed/>
    <w:rsid w:val="002330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6F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5163"/>
  </w:style>
  <w:style w:type="character" w:customStyle="1" w:styleId="BodyTextChar">
    <w:name w:val="Body Text Char"/>
    <w:basedOn w:val="DefaultParagraphFont"/>
    <w:link w:val="BodyText"/>
    <w:uiPriority w:val="1"/>
    <w:rsid w:val="00525163"/>
    <w:rPr>
      <w:rFonts w:ascii="Tahoma" w:eastAsia="Tahoma" w:hAnsi="Tahoma" w:cs="Tahoma"/>
      <w:lang w:val="en-US"/>
    </w:rPr>
  </w:style>
  <w:style w:type="paragraph" w:customStyle="1" w:styleId="Default">
    <w:name w:val="Default"/>
    <w:rsid w:val="00CA5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9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30"/>
    <w:rPr>
      <w:rFonts w:ascii="Tahoma" w:eastAsia="Tahoma" w:hAnsi="Tahoma" w:cs="Tahom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393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739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reysab.org.uk/training/learning-webina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rreyskillsacademy@surreyc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coholchange.org.uk/publication/how-to-use-legal-powers-to-safeguard-highly-vulnerable-dependent-drinke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F24B-213B-4E92-A081-BAE15917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Sandhu</dc:creator>
  <cp:keywords/>
  <dc:description/>
  <cp:lastModifiedBy>O'Reilly, Rachel</cp:lastModifiedBy>
  <cp:revision>2</cp:revision>
  <dcterms:created xsi:type="dcterms:W3CDTF">2025-07-02T10:46:00Z</dcterms:created>
  <dcterms:modified xsi:type="dcterms:W3CDTF">2025-07-02T10:46:00Z</dcterms:modified>
</cp:coreProperties>
</file>